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A9" w:rsidRPr="00C618A9" w:rsidRDefault="00C618A9" w:rsidP="00C618A9">
      <w:pPr>
        <w:spacing w:after="0" w:line="288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60"/>
          <w:szCs w:val="60"/>
        </w:rPr>
      </w:pP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kern w:val="36"/>
          <w:sz w:val="60"/>
        </w:rPr>
        <w:t>Перелі</w:t>
      </w:r>
      <w:proofErr w:type="gramStart"/>
      <w:r w:rsidRPr="00C618A9">
        <w:rPr>
          <w:rFonts w:ascii="Helvetica" w:eastAsia="Times New Roman" w:hAnsi="Helvetica" w:cs="Helvetica"/>
          <w:b/>
          <w:bCs/>
          <w:color w:val="333333"/>
          <w:kern w:val="36"/>
          <w:sz w:val="60"/>
        </w:rPr>
        <w:t>к</w:t>
      </w:r>
      <w:proofErr w:type="spellEnd"/>
      <w:proofErr w:type="gramEnd"/>
      <w:r w:rsidRPr="00C618A9">
        <w:rPr>
          <w:rFonts w:ascii="Helvetica" w:eastAsia="Times New Roman" w:hAnsi="Helvetica" w:cs="Helvetica"/>
          <w:b/>
          <w:bCs/>
          <w:color w:val="333333"/>
          <w:kern w:val="36"/>
          <w:sz w:val="60"/>
        </w:rPr>
        <w:t xml:space="preserve"> 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kern w:val="36"/>
          <w:sz w:val="60"/>
        </w:rPr>
        <w:t>документів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kern w:val="36"/>
          <w:sz w:val="60"/>
        </w:rPr>
        <w:t xml:space="preserve"> 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kern w:val="36"/>
          <w:sz w:val="60"/>
        </w:rPr>
        <w:t>системи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kern w:val="36"/>
          <w:sz w:val="60"/>
        </w:rPr>
        <w:t xml:space="preserve"> HACCP (ХАСП)</w:t>
      </w:r>
    </w:p>
    <w:p w:rsidR="00C618A9" w:rsidRPr="00C618A9" w:rsidRDefault="00C618A9" w:rsidP="00C618A9">
      <w:pPr>
        <w:spacing w:after="100" w:line="288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51"/>
          <w:szCs w:val="51"/>
        </w:rPr>
      </w:pP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які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 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необхідно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 xml:space="preserve"> 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розробити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 xml:space="preserve"> та 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впровадити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 xml:space="preserve"> оператору ринка 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харчової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 xml:space="preserve"> 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продукції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 xml:space="preserve"> для 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успішного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 xml:space="preserve"> 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проходження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 xml:space="preserve"> 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державних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 xml:space="preserve"> </w:t>
      </w:r>
      <w:proofErr w:type="spellStart"/>
      <w:proofErr w:type="gram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перев</w:t>
      </w:r>
      <w:proofErr w:type="gram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ірок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 xml:space="preserve"> 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від</w:t>
      </w:r>
      <w:proofErr w:type="spellEnd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 xml:space="preserve"> </w:t>
      </w:r>
      <w:proofErr w:type="spellStart"/>
      <w:r w:rsidRPr="00C618A9">
        <w:rPr>
          <w:rFonts w:ascii="Helvetica" w:eastAsia="Times New Roman" w:hAnsi="Helvetica" w:cs="Helvetica"/>
          <w:b/>
          <w:bCs/>
          <w:color w:val="333333"/>
          <w:sz w:val="51"/>
        </w:rPr>
        <w:t>Держпродспоживслужби</w:t>
      </w:r>
      <w:proofErr w:type="spellEnd"/>
    </w:p>
    <w:tbl>
      <w:tblPr>
        <w:tblW w:w="17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8747"/>
        <w:gridCol w:w="7317"/>
      </w:tblGrid>
      <w:tr w:rsidR="00C618A9" w:rsidRPr="00C618A9" w:rsidTr="00C618A9">
        <w:trPr>
          <w:trHeight w:val="85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88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88" w:lineRule="atLeast"/>
              <w:ind w:right="818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Документ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731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Умовна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Звіт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діагностичного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аудиту</w:t>
            </w:r>
          </w:p>
        </w:tc>
        <w:tc>
          <w:tcPr>
            <w:tcW w:w="7317" w:type="dxa"/>
            <w:vMerge w:val="restart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Початкові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елементи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НАССР</w:t>
            </w: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Наказ про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створення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НАССР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Положення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групу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НАССР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Лист-зобов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’язання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вищого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керівництва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Наказ про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навчання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Протокол про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навчань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наприклад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сертифікат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Політика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сфері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безпечності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харчової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продукції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ілі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сфері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безпечності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харчової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продукції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Теми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засідань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НАССР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Протоколи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зборів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НАССР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74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Організаційна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структура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Робочі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інструкції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інструкції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Інструкція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відвідувачів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Графік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прибирання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реєстрація</w:t>
            </w:r>
            <w:proofErr w:type="spellEnd"/>
          </w:p>
        </w:tc>
        <w:tc>
          <w:tcPr>
            <w:tcW w:w="7317" w:type="dxa"/>
            <w:vMerge w:val="restart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переліки</w:t>
            </w:r>
            <w:proofErr w:type="spellEnd"/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Журнал контролю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технологічних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процесі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Журнал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реєстрації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дезінсекції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дератизації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Журнал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реєстрації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ремонтних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робіт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Журнал </w:t>
            </w:r>
            <w:proofErr w:type="spellStart"/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іку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крихких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тих,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б’ються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предметів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Перелік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інвентаря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прибирання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Перелік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мийних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дезінфікуючих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засобів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Перелік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постачальників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виробників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Журнал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відвідувачі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Журнал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здоров’я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Перелік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співробітників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проходять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медогляд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Описи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сировини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17" w:type="dxa"/>
            <w:vMerge w:val="restart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Описи “Скелет ХАСП”</w:t>
            </w: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Описи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продукції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Описи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пакувальних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іалів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Технологічні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карти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інструкції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Блок-схеми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виробництва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Протокол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аналізу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небезпечних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факторі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н(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и) НАССР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Методика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визначення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критичних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точок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(ККТ)</w:t>
            </w:r>
          </w:p>
        </w:tc>
        <w:tc>
          <w:tcPr>
            <w:tcW w:w="7317" w:type="dxa"/>
            <w:vMerge w:val="restart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Методики</w:t>
            </w: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Протокол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визначення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критичних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точок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(ККТ)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Методика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моніторингу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критичних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точок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(ККТ)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Методика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управління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протоколами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Методика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управління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документацією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85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Програма-передумова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НАССР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7317" w:type="dxa"/>
            <w:vMerge w:val="restart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передумови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(ППУ)</w:t>
            </w: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правила)</w:t>
            </w:r>
          </w:p>
          <w:p w:rsidR="00C618A9" w:rsidRPr="00C618A9" w:rsidRDefault="00C618A9" w:rsidP="00C61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гі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ієни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всьому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харчовому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ланцюгу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придатні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людиною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ними</w:t>
            </w:r>
          </w:p>
        </w:tc>
      </w:tr>
      <w:tr w:rsidR="00C618A9" w:rsidRPr="00C618A9" w:rsidTr="00C618A9">
        <w:trPr>
          <w:trHeight w:val="118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калібрування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домішок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85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стану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комунікаціи</w:t>
            </w:r>
            <w:proofErr w:type="spellEnd"/>
            <w:r w:rsidRPr="00C618A9">
              <w:rPr>
                <w:rFonts w:ascii="Cambria Math" w:eastAsia="Times New Roman" w:hAnsi="Cambria Math" w:cs="Times New Roman"/>
                <w:sz w:val="24"/>
                <w:szCs w:val="24"/>
              </w:rPr>
              <w:t>̆</w:t>
            </w: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вентиляціі</w:t>
            </w:r>
            <w:proofErr w:type="spellEnd"/>
            <w:r w:rsidRPr="00C618A9">
              <w:rPr>
                <w:rFonts w:ascii="Cambria Math" w:eastAsia="Times New Roman" w:hAnsi="Cambria Math" w:cs="Times New Roman"/>
                <w:sz w:val="24"/>
                <w:szCs w:val="24"/>
              </w:rPr>
              <w:t>̈</w:t>
            </w: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118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льоду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пари,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переробки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контактують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харчовими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продуктами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85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поверхонь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процедур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поверхонь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гі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ієни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персоналу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85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відходами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іттям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C618A9">
              <w:rPr>
                <w:rFonts w:ascii="Cambria Math" w:eastAsia="Times New Roman" w:hAnsi="Cambria Math" w:cs="Times New Roman"/>
                <w:sz w:val="24"/>
                <w:szCs w:val="24"/>
              </w:rPr>
              <w:t>̈</w:t>
            </w: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видалення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потужності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85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Програма-передумова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НАССР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шкідниками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C618A9">
              <w:rPr>
                <w:rFonts w:ascii="Cambria Math" w:eastAsia="Times New Roman" w:hAnsi="Cambria Math" w:cs="Times New Roman"/>
                <w:sz w:val="24"/>
                <w:szCs w:val="24"/>
              </w:rPr>
              <w:t>̈</w:t>
            </w: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появі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боротьби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85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Програма-передумова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НАССР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токсичних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специфікаціі</w:t>
            </w:r>
            <w:proofErr w:type="spellEnd"/>
            <w:r w:rsidRPr="00C618A9">
              <w:rPr>
                <w:rFonts w:ascii="Cambria Math" w:eastAsia="Times New Roman" w:hAnsi="Cambria Math" w:cs="Times New Roman"/>
                <w:sz w:val="24"/>
                <w:szCs w:val="24"/>
              </w:rPr>
              <w:t>̈</w:t>
            </w: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поінформованості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Документована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процедура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ідентифікації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простежуваності</w:t>
            </w:r>
            <w:proofErr w:type="spellEnd"/>
          </w:p>
        </w:tc>
        <w:tc>
          <w:tcPr>
            <w:tcW w:w="7317" w:type="dxa"/>
            <w:vMerge w:val="restart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Постійно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діючі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процедури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НАССР</w:t>
            </w: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Документована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процедура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щодо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коригувальних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дій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Протокол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оцінки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компетентності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персоналу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План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протокол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проходження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персоналом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Документована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процедура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внутрішніх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аудиті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7317" w:type="dxa"/>
            <w:vMerge w:val="restart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внутрішні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аудити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Наказ про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внутрішніх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аудитів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призначення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групи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ВА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План-графік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внутрішніх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аудиті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проведення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внутрішніх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аудиті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Опитувальна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анкета для 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внутрішніх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аудиті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 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внутрішнім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аудитом</w:t>
            </w:r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(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за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факту)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Зведена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таблиця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матричного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A9" w:rsidRPr="00C618A9" w:rsidTr="00C618A9">
        <w:trPr>
          <w:trHeight w:val="525"/>
        </w:trPr>
        <w:tc>
          <w:tcPr>
            <w:tcW w:w="1111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47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(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</w:t>
            </w:r>
            <w:proofErr w:type="gram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за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факту)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коригувальних</w:t>
            </w:r>
            <w:proofErr w:type="spellEnd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A9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  <w:tc>
          <w:tcPr>
            <w:tcW w:w="7317" w:type="dxa"/>
            <w:vMerge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8A9" w:rsidRPr="00C618A9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8A9" w:rsidRPr="00C618A9" w:rsidRDefault="00C618A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618A9" w:rsidRPr="00C618A9" w:rsidSect="00C61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8A9"/>
    <w:rsid w:val="00C6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1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618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8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18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618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C618A9"/>
    <w:rPr>
      <w:b/>
      <w:bCs/>
    </w:rPr>
  </w:style>
  <w:style w:type="character" w:customStyle="1" w:styleId="apple-converted-space">
    <w:name w:val="apple-converted-space"/>
    <w:basedOn w:val="a0"/>
    <w:rsid w:val="00C618A9"/>
  </w:style>
  <w:style w:type="paragraph" w:styleId="a4">
    <w:name w:val="Normal (Web)"/>
    <w:basedOn w:val="a"/>
    <w:uiPriority w:val="99"/>
    <w:semiHidden/>
    <w:unhideWhenUsed/>
    <w:rsid w:val="00C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9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8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C71C3"/>
                        <w:left w:val="single" w:sz="2" w:space="0" w:color="0C71C3"/>
                        <w:bottom w:val="single" w:sz="2" w:space="0" w:color="0C71C3"/>
                        <w:right w:val="single" w:sz="2" w:space="0" w:color="0C71C3"/>
                      </w:divBdr>
                      <w:divsChild>
                        <w:div w:id="5924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2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635</Words>
  <Characters>3625</Characters>
  <Application>Microsoft Office Word</Application>
  <DocSecurity>0</DocSecurity>
  <Lines>30</Lines>
  <Paragraphs>8</Paragraphs>
  <ScaleCrop>false</ScaleCrop>
  <Company>Computer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2019-10-28T10:27:00Z</cp:lastPrinted>
  <dcterms:created xsi:type="dcterms:W3CDTF">2019-10-28T10:25:00Z</dcterms:created>
  <dcterms:modified xsi:type="dcterms:W3CDTF">2019-10-28T10:32:00Z</dcterms:modified>
</cp:coreProperties>
</file>